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EB0" w14:textId="7362B5C7" w:rsidR="00BD3650" w:rsidRDefault="00995604" w:rsidP="00E86FF3">
      <w:pPr>
        <w:pStyle w:val="Titre1"/>
        <w:spacing w:line="276" w:lineRule="auto"/>
      </w:pPr>
      <w:r>
        <w:t xml:space="preserve">Nieuwe cultivatoren uit de SYNKRO-serie van PÖTTINGER </w:t>
      </w:r>
    </w:p>
    <w:p w14:paraId="34BACBFC" w14:textId="3B84F38B" w:rsidR="004F733C" w:rsidRDefault="00B24C3C" w:rsidP="004F733C">
      <w:pPr>
        <w:pStyle w:val="Titre2"/>
      </w:pPr>
      <w:r>
        <w:t xml:space="preserve">Universele cultivatoren overtuigen met talrijke nieuwe functies </w:t>
      </w:r>
    </w:p>
    <w:p w14:paraId="0976C4B8" w14:textId="5AB861AE" w:rsidR="00425A5E" w:rsidRDefault="00122CE6" w:rsidP="00EA15FD">
      <w:r>
        <w:t xml:space="preserve">Een groot aantal nieuwe en beproefde functies en talrijke individuele aanpassingsmogelijkheden maken de nieuwe SYNKRO-cultivator tot een echte alleskunner op het gebied van bodembewerking met behoud van de bodemstructuur.  De gedragen cultivators met 2 balken (vast, werkbreedte 2,5 m of 3 m) of 3 balken (vast of opklapbaar, werkbreedte 3 m tot 5 m) universele SYNKRO-cultivatoren leveren uitstekend werk bij het onderwerken van stoppel, de grondbewerking in de herfst, de zaaibedbereiding bij </w:t>
      </w:r>
      <w:proofErr w:type="spellStart"/>
      <w:r>
        <w:t>mulchzaaien</w:t>
      </w:r>
      <w:proofErr w:type="spellEnd"/>
      <w:r>
        <w:t xml:space="preserve"> of het inwerken van tussengewassen.  </w:t>
      </w:r>
    </w:p>
    <w:p w14:paraId="6372CB38" w14:textId="77777777" w:rsidR="00B4279D" w:rsidRDefault="00874E1F" w:rsidP="00EA15FD">
      <w:r>
        <w:t xml:space="preserve">De starre modellen zijn nu ook verkrijgbaar met optionele tastwielen.  Deze zorgen – vooral bij oneffen of golvende terreinen – voor een constante werkdiepte, waardoor de grond optimaal wordt voorbereid op het zaaien.   </w:t>
      </w:r>
    </w:p>
    <w:p w14:paraId="1F2F5997" w14:textId="6E6BE2A8" w:rsidR="00457B32" w:rsidRDefault="00B458A5" w:rsidP="00EA15FD">
      <w:r>
        <w:t xml:space="preserve">De nalooprol kan nu zowel bij de starre als bij de opklapbare uitvoeringen heel eenvoudig worden verwijderd.  Het resultaat van het werk zonder nalooprol is een losse, niet-verdichte bodem – ideaal voor de grondbewerking in de herfst of voor bedrijven die zonder ploeg werken.  Bij gebruik zonder nalooprol blijft organisch materiaal aan het bodemoppervlak behouden, wat het risico op erosie aanzienlijk vermindert. </w:t>
      </w:r>
    </w:p>
    <w:p w14:paraId="53A3EE1A" w14:textId="493404A6" w:rsidR="00FC1098" w:rsidRPr="0090778A" w:rsidRDefault="00B4279D" w:rsidP="00EA15FD">
      <w:r>
        <w:t xml:space="preserve">De hydraulisch opklapbare SYNKRO V-modellen zijn voorzien van vier optionele steunpoten.  Hierdoor kunnen de machines veilig en ruimtebesparend in opgeklapte stand worden neergezet.  Bovendien zorgt de symmetrische opstelling van de tanden bij deze modellen voor werken zonder zijdelingse trekkrachten en voor een uitstekend egalisatieresultaat.   </w:t>
      </w:r>
    </w:p>
    <w:p w14:paraId="6CB9C0EA" w14:textId="6B65B655" w:rsidR="005B1500" w:rsidRPr="005B1500" w:rsidRDefault="005B1500" w:rsidP="00E6391D">
      <w:pPr>
        <w:pStyle w:val="Titre3"/>
        <w:rPr>
          <w:b w:val="0"/>
        </w:rPr>
      </w:pPr>
      <w:r>
        <w:t xml:space="preserve">Comfort en gebruikszekerheid </w:t>
      </w:r>
    </w:p>
    <w:p w14:paraId="1D3724A8" w14:textId="50311FEF" w:rsidR="007C314D" w:rsidRPr="00475CCE" w:rsidRDefault="00956D4A" w:rsidP="005634E7">
      <w:r>
        <w:t xml:space="preserve">De mechanische steenbeveiliging NOVA met horizontaal geplaatst veerpakket en een uitbreekkracht van 550 kg is nu onderhoudsvrij.  De egalisatie-eenheden van de SYNKRO V zijn eenvoudig centraal instelbaar en zijn voortaan bij alle modellen </w:t>
      </w:r>
      <w:r>
        <w:lastRenderedPageBreak/>
        <w:t xml:space="preserve">uitgerust met een </w:t>
      </w:r>
      <w:proofErr w:type="spellStart"/>
      <w:r>
        <w:t>overbelastingsbeveiliging</w:t>
      </w:r>
      <w:proofErr w:type="spellEnd"/>
      <w:r>
        <w:t xml:space="preserve">.  Met de aanpasbare werktuigen, verschillende schaaropties en een breed scala aan uitrustingsopties kan individueel worden ingespeeld op de meest uiteenlopende gebruiksomstandigheden.  Nauwkeurige machine-instellingen zorgen voor een gelijkmatig werkresultaat – de basis voor latere werkstappen en succesvolle akkerbouw. </w:t>
      </w:r>
    </w:p>
    <w:p w14:paraId="61D27E8C" w14:textId="1704C349" w:rsidR="005A4B4A" w:rsidRDefault="00F247B8" w:rsidP="005634E7">
      <w:r>
        <w:t xml:space="preserve">De nieuwe SYNKRO-cultivatoren van PÖTTINGER blinken uit door hun gebruiksgemak, betrouwbaarheid en brede toepassingsmogelijkheden.  Dankzij het overtuigende aanbod aan uitvoeringen zijn ze ideaal voor zowel kleinere familiebedrijven als voor grote bedrijven of machineringen. </w:t>
      </w:r>
    </w:p>
    <w:p w14:paraId="7C5167A4" w14:textId="77777777" w:rsidR="00E6391D" w:rsidRDefault="00E6391D" w:rsidP="004F733C">
      <w:pPr>
        <w:spacing w:after="120"/>
      </w:pPr>
    </w:p>
    <w:p w14:paraId="55743736" w14:textId="77777777" w:rsidR="004F733C" w:rsidRDefault="004F733C" w:rsidP="004F733C">
      <w:pPr>
        <w:spacing w:after="120"/>
        <w:rPr>
          <w:b/>
          <w:bCs/>
        </w:rPr>
      </w:pPr>
      <w:r>
        <w:rPr>
          <w:b/>
        </w:rPr>
        <w:t xml:space="preserve">Afbeeldingen preview:  </w:t>
      </w:r>
    </w:p>
    <w:tbl>
      <w:tblPr>
        <w:tblStyle w:val="Grilledutableau"/>
        <w:tblW w:w="0" w:type="auto"/>
        <w:tblLook w:val="04A0" w:firstRow="1" w:lastRow="0" w:firstColumn="1" w:lastColumn="0" w:noHBand="0" w:noVBand="1"/>
      </w:tblPr>
      <w:tblGrid>
        <w:gridCol w:w="4388"/>
        <w:gridCol w:w="4389"/>
      </w:tblGrid>
      <w:tr w:rsidR="004F733C" w14:paraId="79D79FB3" w14:textId="77777777" w:rsidTr="001455A5">
        <w:trPr>
          <w:trHeight w:val="2341"/>
        </w:trPr>
        <w:tc>
          <w:tcPr>
            <w:tcW w:w="4673" w:type="dxa"/>
          </w:tcPr>
          <w:p w14:paraId="7BD8A77C" w14:textId="042FC337" w:rsidR="00AB7B74" w:rsidRPr="00822CE4" w:rsidRDefault="0065314F" w:rsidP="00B310B8">
            <w:pPr>
              <w:spacing w:after="120"/>
            </w:pPr>
            <w:r>
              <w:rPr>
                <w:noProof/>
              </w:rPr>
              <w:drawing>
                <wp:inline distT="0" distB="0" distL="0" distR="0" wp14:anchorId="678D323C" wp14:editId="3C003364">
                  <wp:extent cx="2085975" cy="1390650"/>
                  <wp:effectExtent l="0" t="0" r="9525" b="0"/>
                  <wp:docPr id="476041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4148" name=""/>
                          <pic:cNvPicPr/>
                        </pic:nvPicPr>
                        <pic:blipFill>
                          <a:blip r:embed="rId9"/>
                          <a:stretch>
                            <a:fillRect/>
                          </a:stretch>
                        </pic:blipFill>
                        <pic:spPr>
                          <a:xfrm>
                            <a:off x="0" y="0"/>
                            <a:ext cx="2096639" cy="1397759"/>
                          </a:xfrm>
                          <a:prstGeom prst="rect">
                            <a:avLst/>
                          </a:prstGeom>
                        </pic:spPr>
                      </pic:pic>
                    </a:graphicData>
                  </a:graphic>
                </wp:inline>
              </w:drawing>
            </w:r>
          </w:p>
        </w:tc>
        <w:tc>
          <w:tcPr>
            <w:tcW w:w="4104" w:type="dxa"/>
          </w:tcPr>
          <w:p w14:paraId="6F39073D" w14:textId="2AD5CD08" w:rsidR="004F733C" w:rsidRDefault="00B310B8" w:rsidP="00C5074D">
            <w:pPr>
              <w:spacing w:after="120"/>
              <w:jc w:val="center"/>
            </w:pPr>
            <w:r>
              <w:rPr>
                <w:noProof/>
              </w:rPr>
              <w:drawing>
                <wp:inline distT="0" distB="0" distL="0" distR="0" wp14:anchorId="67278345" wp14:editId="43E41A6A">
                  <wp:extent cx="1840018" cy="1380014"/>
                  <wp:effectExtent l="0" t="0" r="8255" b="0"/>
                  <wp:docPr id="11824673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67316" name=""/>
                          <pic:cNvPicPr/>
                        </pic:nvPicPr>
                        <pic:blipFill>
                          <a:blip r:embed="rId10"/>
                          <a:stretch>
                            <a:fillRect/>
                          </a:stretch>
                        </pic:blipFill>
                        <pic:spPr>
                          <a:xfrm>
                            <a:off x="0" y="0"/>
                            <a:ext cx="1865569" cy="1399177"/>
                          </a:xfrm>
                          <a:prstGeom prst="rect">
                            <a:avLst/>
                          </a:prstGeom>
                        </pic:spPr>
                      </pic:pic>
                    </a:graphicData>
                  </a:graphic>
                </wp:inline>
              </w:drawing>
            </w:r>
          </w:p>
        </w:tc>
      </w:tr>
      <w:tr w:rsidR="004F733C" w:rsidRPr="000A03FF" w14:paraId="494D89B1" w14:textId="77777777" w:rsidTr="00CC3CDE">
        <w:tc>
          <w:tcPr>
            <w:tcW w:w="4673" w:type="dxa"/>
          </w:tcPr>
          <w:p w14:paraId="60168FA2" w14:textId="74D4AF92" w:rsidR="004F733C" w:rsidRPr="004F733C" w:rsidRDefault="0010276F" w:rsidP="004F733C">
            <w:pPr>
              <w:pStyle w:val="Sansinterligne"/>
            </w:pPr>
            <w:r>
              <w:t xml:space="preserve">De nieuwe SYNKRO heeft talrijke verbeteringen en vernieuwingen ondergaan </w:t>
            </w:r>
          </w:p>
        </w:tc>
        <w:tc>
          <w:tcPr>
            <w:tcW w:w="4104" w:type="dxa"/>
          </w:tcPr>
          <w:p w14:paraId="5C91328F" w14:textId="6625967E" w:rsidR="004F733C" w:rsidRPr="004F733C" w:rsidRDefault="0010276F" w:rsidP="004F733C">
            <w:pPr>
              <w:pStyle w:val="Sansinterligne"/>
            </w:pPr>
            <w:r>
              <w:t xml:space="preserve">Een alleskunner op het gebied van conserverende grondbewerking </w:t>
            </w:r>
          </w:p>
        </w:tc>
      </w:tr>
      <w:tr w:rsidR="004F733C" w:rsidRPr="000A03FF" w14:paraId="232C353B" w14:textId="77777777" w:rsidTr="00C5074D">
        <w:trPr>
          <w:trHeight w:val="961"/>
        </w:trPr>
        <w:tc>
          <w:tcPr>
            <w:tcW w:w="4673" w:type="dxa"/>
          </w:tcPr>
          <w:p w14:paraId="3EA81ACD" w14:textId="28D272AA" w:rsidR="004F733C" w:rsidRPr="00CC3CDE" w:rsidRDefault="00CC3CDE" w:rsidP="00B310B8">
            <w:pPr>
              <w:jc w:val="center"/>
              <w:rPr>
                <w:bCs/>
                <w:sz w:val="20"/>
                <w:szCs w:val="20"/>
              </w:rPr>
            </w:pPr>
            <w:hyperlink r:id="rId11" w:history="1">
              <w:r w:rsidRPr="00E67393">
                <w:rPr>
                  <w:rStyle w:val="Lienhypertexte"/>
                  <w:bCs/>
                  <w:sz w:val="20"/>
                  <w:szCs w:val="20"/>
                </w:rPr>
                <w:t>https://www.poettinger.at/de_at/newsroom/pressebild/191269</w:t>
              </w:r>
            </w:hyperlink>
          </w:p>
        </w:tc>
        <w:tc>
          <w:tcPr>
            <w:tcW w:w="4104" w:type="dxa"/>
          </w:tcPr>
          <w:p w14:paraId="5218F999" w14:textId="2BA67C20" w:rsidR="004F733C" w:rsidRPr="00225B2C" w:rsidRDefault="000D1A23" w:rsidP="00F17563">
            <w:pPr>
              <w:jc w:val="center"/>
              <w:rPr>
                <w:rStyle w:val="Lienhypertexte"/>
                <w:sz w:val="20"/>
                <w:szCs w:val="20"/>
              </w:rPr>
            </w:pPr>
            <w:r w:rsidRPr="000D1A23">
              <w:rPr>
                <w:color w:val="0000FF"/>
                <w:sz w:val="20"/>
                <w:szCs w:val="20"/>
                <w:u w:val="single"/>
              </w:rPr>
              <w:t>https://www.poettinger.at/de_at/newsroom/pressebild/191268</w:t>
            </w:r>
          </w:p>
        </w:tc>
      </w:tr>
    </w:tbl>
    <w:p w14:paraId="28970D38" w14:textId="01DF7A14" w:rsidR="007F3D51" w:rsidRDefault="00DB02BA" w:rsidP="00C86C03">
      <w:pPr>
        <w:widowControl w:val="0"/>
        <w:autoSpaceDE w:val="0"/>
        <w:autoSpaceDN w:val="0"/>
        <w:adjustRightInd w:val="0"/>
        <w:rPr>
          <w:rStyle w:val="Lienhypertexte"/>
          <w:snapToGrid w:val="0"/>
        </w:rPr>
      </w:pPr>
      <w:r>
        <w:rPr>
          <w:snapToGrid w:val="0"/>
          <w:color w:val="000000"/>
        </w:rPr>
        <w:t xml:space="preserve">Meer voor afdrukken geoptimaliseerde afbeeldingen: </w:t>
      </w:r>
      <w:hyperlink r:id="rId12" w:history="1">
        <w:r>
          <w:rPr>
            <w:rStyle w:val="Lienhypertexte"/>
            <w:snapToGrid w:val="0"/>
          </w:rPr>
          <w:t>http://www.poettinger.at/presse</w:t>
        </w:r>
      </w:hyperlink>
    </w:p>
    <w:p w14:paraId="40921ABC" w14:textId="77777777" w:rsidR="002F2B6E" w:rsidRPr="00724826" w:rsidRDefault="002F2B6E" w:rsidP="00C86C03">
      <w:pPr>
        <w:widowControl w:val="0"/>
        <w:autoSpaceDE w:val="0"/>
        <w:autoSpaceDN w:val="0"/>
        <w:adjustRightInd w:val="0"/>
        <w:rPr>
          <w:rStyle w:val="Lienhypertexte"/>
          <w:snapToGrid w:val="0"/>
          <w:lang w:eastAsia="de-DE"/>
        </w:rPr>
      </w:pPr>
    </w:p>
    <w:p w14:paraId="63B650BC" w14:textId="77777777" w:rsidR="00BA0FA2" w:rsidRPr="002F2B6E" w:rsidRDefault="00BA0FA2" w:rsidP="00C86C03">
      <w:pPr>
        <w:widowControl w:val="0"/>
        <w:autoSpaceDE w:val="0"/>
        <w:autoSpaceDN w:val="0"/>
        <w:adjustRightInd w:val="0"/>
        <w:rPr>
          <w:snapToGrid w:val="0"/>
          <w:color w:val="000000"/>
          <w:lang w:eastAsia="de-DE"/>
        </w:rPr>
      </w:pPr>
    </w:p>
    <w:sectPr w:rsidR="00BA0FA2" w:rsidRPr="002F2B6E"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628B" w14:textId="77777777" w:rsidR="00903EB2" w:rsidRDefault="00903EB2" w:rsidP="004F733C">
      <w:r>
        <w:separator/>
      </w:r>
    </w:p>
  </w:endnote>
  <w:endnote w:type="continuationSeparator" w:id="0">
    <w:p w14:paraId="165E86EE" w14:textId="77777777" w:rsidR="00903EB2" w:rsidRDefault="00903EB2"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Pieddepage"/>
      <w:rPr>
        <w:sz w:val="40"/>
        <w:szCs w:val="40"/>
      </w:rPr>
    </w:pPr>
  </w:p>
  <w:p w14:paraId="4359ED4C" w14:textId="77777777" w:rsidR="000A398B" w:rsidRPr="00CE3D68" w:rsidRDefault="000A398B" w:rsidP="00971E45">
    <w:pPr>
      <w:pStyle w:val="Pieddepage"/>
      <w:spacing w:before="0"/>
    </w:pPr>
    <w:r>
      <w:t xml:space="preserve">PÖTTINGER </w:t>
    </w:r>
    <w:proofErr w:type="spellStart"/>
    <w:r>
      <w:t>Landtechnik</w:t>
    </w:r>
    <w:proofErr w:type="spellEnd"/>
    <w:r>
      <w:t xml:space="preserve"> GmbH – Bedrijfscommunicatie</w:t>
    </w:r>
  </w:p>
  <w:p w14:paraId="6BF14344" w14:textId="77777777" w:rsidR="000A398B" w:rsidRPr="00CE3D68" w:rsidRDefault="000A398B" w:rsidP="00971E45">
    <w:pPr>
      <w:pStyle w:val="Pieddepage"/>
      <w:spacing w:before="0"/>
    </w:pPr>
    <w:r>
      <w:t xml:space="preserve">Silja Kempinger, </w:t>
    </w:r>
    <w:proofErr w:type="spellStart"/>
    <w:r>
      <w:t>Industriegelände</w:t>
    </w:r>
    <w:proofErr w:type="spellEnd"/>
    <w:r>
      <w:t xml:space="preserve"> 1, A-4710 </w:t>
    </w:r>
    <w:proofErr w:type="spellStart"/>
    <w:r>
      <w:t>Grieskirchen</w:t>
    </w:r>
    <w:proofErr w:type="spellEnd"/>
  </w:p>
  <w:p w14:paraId="21AE6C8F" w14:textId="77777777" w:rsidR="000A398B" w:rsidRPr="00724826" w:rsidRDefault="000A398B" w:rsidP="00971E45">
    <w:pPr>
      <w:pStyle w:val="Pieddepage"/>
      <w:spacing w:before="0"/>
      <w:rPr>
        <w:lang w:val="de-DE"/>
      </w:rPr>
    </w:pPr>
    <w:r w:rsidRPr="00724826">
      <w:rPr>
        <w:lang w:val="de-DE"/>
      </w:rPr>
      <w:t xml:space="preserve">Tel.: +43 7248 600-2415, silja.kempinger@poettinger.at, </w:t>
    </w:r>
    <w:hyperlink r:id="rId1" w:history="1">
      <w:r w:rsidRPr="00724826">
        <w:rPr>
          <w:lang w:val="de-DE"/>
        </w:rPr>
        <w:t>www.poettinger.at</w:t>
      </w:r>
    </w:hyperlink>
    <w:r w:rsidRPr="00724826">
      <w:rPr>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F6F7C" w14:textId="77777777" w:rsidR="00903EB2" w:rsidRDefault="00903EB2" w:rsidP="004F733C">
      <w:r>
        <w:separator/>
      </w:r>
    </w:p>
  </w:footnote>
  <w:footnote w:type="continuationSeparator" w:id="0">
    <w:p w14:paraId="31A3AB78" w14:textId="77777777" w:rsidR="00903EB2" w:rsidRDefault="00903EB2"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77777777" w:rsidR="000A398B" w:rsidRPr="00E9294C" w:rsidRDefault="000A398B" w:rsidP="004F733C">
    <w:pPr>
      <w:pStyle w:val="En-tt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Persinformatie 2026                                 </w:t>
    </w:r>
  </w:p>
  <w:bookmarkEnd w:id="0"/>
  <w:p w14:paraId="47C7D767" w14:textId="77777777" w:rsidR="000A398B" w:rsidRPr="00B7607E" w:rsidRDefault="000A398B" w:rsidP="004F733C">
    <w:pPr>
      <w:pStyle w:val="En-tt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A396D"/>
    <w:rsid w:val="000A398B"/>
    <w:rsid w:val="000A6F35"/>
    <w:rsid w:val="000A6F6B"/>
    <w:rsid w:val="000B29EC"/>
    <w:rsid w:val="000B5FDB"/>
    <w:rsid w:val="000C3DC7"/>
    <w:rsid w:val="000D1A23"/>
    <w:rsid w:val="000D28C6"/>
    <w:rsid w:val="000E13AF"/>
    <w:rsid w:val="000F4C37"/>
    <w:rsid w:val="0010276F"/>
    <w:rsid w:val="00103F9F"/>
    <w:rsid w:val="001201CA"/>
    <w:rsid w:val="00122CE6"/>
    <w:rsid w:val="001236AE"/>
    <w:rsid w:val="00130895"/>
    <w:rsid w:val="001455A5"/>
    <w:rsid w:val="00160D3C"/>
    <w:rsid w:val="00164892"/>
    <w:rsid w:val="00164BD5"/>
    <w:rsid w:val="001656FB"/>
    <w:rsid w:val="00165ABB"/>
    <w:rsid w:val="00177688"/>
    <w:rsid w:val="00191CAC"/>
    <w:rsid w:val="001942A7"/>
    <w:rsid w:val="001A070A"/>
    <w:rsid w:val="001A705C"/>
    <w:rsid w:val="001B744A"/>
    <w:rsid w:val="001C3ADC"/>
    <w:rsid w:val="001F6CC3"/>
    <w:rsid w:val="0020045C"/>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1AD1"/>
    <w:rsid w:val="004F359A"/>
    <w:rsid w:val="004F733C"/>
    <w:rsid w:val="00503F8F"/>
    <w:rsid w:val="00504434"/>
    <w:rsid w:val="00504797"/>
    <w:rsid w:val="00507FFC"/>
    <w:rsid w:val="005114AA"/>
    <w:rsid w:val="0051280D"/>
    <w:rsid w:val="00515918"/>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3E64"/>
    <w:rsid w:val="005D4C69"/>
    <w:rsid w:val="005E7C8B"/>
    <w:rsid w:val="005E7E28"/>
    <w:rsid w:val="005F3EC0"/>
    <w:rsid w:val="005F45E6"/>
    <w:rsid w:val="00601D0D"/>
    <w:rsid w:val="0060311F"/>
    <w:rsid w:val="00604DEF"/>
    <w:rsid w:val="00633D78"/>
    <w:rsid w:val="00635B31"/>
    <w:rsid w:val="00647506"/>
    <w:rsid w:val="00651353"/>
    <w:rsid w:val="00651889"/>
    <w:rsid w:val="0065314F"/>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24826"/>
    <w:rsid w:val="00741F27"/>
    <w:rsid w:val="00744F55"/>
    <w:rsid w:val="00750227"/>
    <w:rsid w:val="00763227"/>
    <w:rsid w:val="007657E8"/>
    <w:rsid w:val="00766158"/>
    <w:rsid w:val="007664EB"/>
    <w:rsid w:val="00776284"/>
    <w:rsid w:val="00781D88"/>
    <w:rsid w:val="0078329E"/>
    <w:rsid w:val="00791DED"/>
    <w:rsid w:val="007A0F6F"/>
    <w:rsid w:val="007B4236"/>
    <w:rsid w:val="007C127C"/>
    <w:rsid w:val="007C314D"/>
    <w:rsid w:val="007C40F1"/>
    <w:rsid w:val="007D0525"/>
    <w:rsid w:val="007E24AB"/>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3EB2"/>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4496"/>
    <w:rsid w:val="00AD7854"/>
    <w:rsid w:val="00AF1A41"/>
    <w:rsid w:val="00AF23F2"/>
    <w:rsid w:val="00AF5741"/>
    <w:rsid w:val="00B02C67"/>
    <w:rsid w:val="00B147C3"/>
    <w:rsid w:val="00B247A9"/>
    <w:rsid w:val="00B24C3C"/>
    <w:rsid w:val="00B2628F"/>
    <w:rsid w:val="00B277B5"/>
    <w:rsid w:val="00B310B8"/>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074D"/>
    <w:rsid w:val="00C52C5B"/>
    <w:rsid w:val="00C54D39"/>
    <w:rsid w:val="00C61BA4"/>
    <w:rsid w:val="00C62C98"/>
    <w:rsid w:val="00C64043"/>
    <w:rsid w:val="00C660C4"/>
    <w:rsid w:val="00C77DB8"/>
    <w:rsid w:val="00C80F0B"/>
    <w:rsid w:val="00C85E20"/>
    <w:rsid w:val="00C86C03"/>
    <w:rsid w:val="00C92046"/>
    <w:rsid w:val="00CA23C5"/>
    <w:rsid w:val="00CA626B"/>
    <w:rsid w:val="00CC201C"/>
    <w:rsid w:val="00CC3CDE"/>
    <w:rsid w:val="00CC405F"/>
    <w:rsid w:val="00CC49DE"/>
    <w:rsid w:val="00CC6A9A"/>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4ED0"/>
    <w:rsid w:val="00F42096"/>
    <w:rsid w:val="00F47B56"/>
    <w:rsid w:val="00F61416"/>
    <w:rsid w:val="00F6284A"/>
    <w:rsid w:val="00F70E5C"/>
    <w:rsid w:val="00F72403"/>
    <w:rsid w:val="00F72B0A"/>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416"/>
    <w:pPr>
      <w:spacing w:before="120" w:after="60" w:line="360" w:lineRule="auto"/>
      <w:jc w:val="both"/>
    </w:pPr>
    <w:rPr>
      <w:rFonts w:ascii="Arial" w:hAnsi="Arial" w:cs="Arial"/>
      <w:sz w:val="24"/>
      <w:szCs w:val="24"/>
    </w:rPr>
  </w:style>
  <w:style w:type="paragraph" w:styleId="Titre1">
    <w:name w:val="heading 1"/>
    <w:basedOn w:val="Normal"/>
    <w:next w:val="Normal"/>
    <w:link w:val="Titre1Car"/>
    <w:uiPriority w:val="9"/>
    <w:qFormat/>
    <w:rsid w:val="00BA2C97"/>
    <w:pPr>
      <w:keepNext/>
      <w:keepLines/>
      <w:spacing w:after="120" w:line="240" w:lineRule="auto"/>
      <w:jc w:val="left"/>
      <w:outlineLvl w:val="0"/>
    </w:pPr>
    <w:rPr>
      <w:rFonts w:eastAsiaTheme="majorEastAsia"/>
      <w:sz w:val="40"/>
      <w:szCs w:val="40"/>
    </w:rPr>
  </w:style>
  <w:style w:type="paragraph" w:styleId="Titre2">
    <w:name w:val="heading 2"/>
    <w:basedOn w:val="Normal"/>
    <w:next w:val="Normal"/>
    <w:link w:val="Titre2Car"/>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Titre3">
    <w:name w:val="heading 3"/>
    <w:basedOn w:val="Normal"/>
    <w:next w:val="Normal"/>
    <w:link w:val="Titre3Car"/>
    <w:uiPriority w:val="9"/>
    <w:unhideWhenUsed/>
    <w:qFormat/>
    <w:rsid w:val="00D63A1A"/>
    <w:pPr>
      <w:keepNext/>
      <w:keepLines/>
      <w:spacing w:after="0"/>
      <w:outlineLvl w:val="2"/>
    </w:pPr>
    <w:rPr>
      <w:rFonts w:eastAsiaTheme="majorEastAsia" w:cstheme="majorBidi"/>
      <w:b/>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103F9F"/>
    <w:pPr>
      <w:tabs>
        <w:tab w:val="center" w:pos="4536"/>
        <w:tab w:val="right" w:pos="9072"/>
      </w:tabs>
      <w:spacing w:after="0" w:line="240" w:lineRule="auto"/>
    </w:pPr>
  </w:style>
  <w:style w:type="character" w:customStyle="1" w:styleId="En-tteCar">
    <w:name w:val="En-tête Car"/>
    <w:basedOn w:val="Policepardfaut"/>
    <w:link w:val="En-tte"/>
    <w:uiPriority w:val="99"/>
    <w:rsid w:val="00103F9F"/>
  </w:style>
  <w:style w:type="paragraph" w:styleId="Pieddepage">
    <w:name w:val="footer"/>
    <w:basedOn w:val="Normal"/>
    <w:link w:val="PieddepageCar"/>
    <w:uiPriority w:val="99"/>
    <w:unhideWhenUsed/>
    <w:qFormat/>
    <w:rsid w:val="00FD1D72"/>
    <w:pPr>
      <w:tabs>
        <w:tab w:val="center" w:pos="4536"/>
        <w:tab w:val="right" w:pos="9072"/>
      </w:tabs>
      <w:spacing w:after="0" w:line="240" w:lineRule="auto"/>
    </w:pPr>
    <w:rPr>
      <w:sz w:val="20"/>
    </w:rPr>
  </w:style>
  <w:style w:type="character" w:customStyle="1" w:styleId="PieddepageCar">
    <w:name w:val="Pied de page Car"/>
    <w:basedOn w:val="Policepardfaut"/>
    <w:link w:val="Pieddepage"/>
    <w:uiPriority w:val="99"/>
    <w:rsid w:val="00FD1D72"/>
    <w:rPr>
      <w:rFonts w:ascii="Arial" w:hAnsi="Arial" w:cs="Arial"/>
      <w:sz w:val="20"/>
      <w:szCs w:val="24"/>
      <w:lang w:val="nl-NL"/>
    </w:rPr>
  </w:style>
  <w:style w:type="character" w:customStyle="1" w:styleId="Titre1Car">
    <w:name w:val="Titre 1 Car"/>
    <w:basedOn w:val="Policepardfaut"/>
    <w:link w:val="Titre1"/>
    <w:uiPriority w:val="9"/>
    <w:rsid w:val="00BA2C97"/>
    <w:rPr>
      <w:rFonts w:ascii="Arial" w:eastAsiaTheme="majorEastAsia" w:hAnsi="Arial" w:cs="Arial"/>
      <w:sz w:val="40"/>
      <w:szCs w:val="40"/>
      <w:lang w:val="nl-NL"/>
    </w:rPr>
  </w:style>
  <w:style w:type="character" w:customStyle="1" w:styleId="Titre2Car">
    <w:name w:val="Titre 2 Car"/>
    <w:basedOn w:val="Policepardfaut"/>
    <w:link w:val="Titre2"/>
    <w:uiPriority w:val="9"/>
    <w:rsid w:val="00BA2C97"/>
    <w:rPr>
      <w:rFonts w:ascii="Arial" w:eastAsia="Times New Roman" w:hAnsi="Arial" w:cs="Arial"/>
      <w:sz w:val="32"/>
      <w:szCs w:val="32"/>
      <w:lang w:val="nl-NL"/>
      <w14:ligatures w14:val="none"/>
    </w:rPr>
  </w:style>
  <w:style w:type="table" w:styleId="Grilledutableau">
    <w:name w:val="Table Grid"/>
    <w:basedOn w:val="TableauNormal"/>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4F733C"/>
    <w:rPr>
      <w:color w:val="0000FF"/>
      <w:u w:val="single"/>
    </w:rPr>
  </w:style>
  <w:style w:type="paragraph" w:styleId="Sansinterligne">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
    <w:name w:val="Fußz eile"/>
    <w:basedOn w:val="Normal"/>
    <w:link w:val="FuzeileZchn"/>
    <w:qFormat/>
    <w:rsid w:val="004F733C"/>
    <w:pPr>
      <w:spacing w:after="0" w:line="240" w:lineRule="auto"/>
      <w:contextualSpacing/>
    </w:pPr>
    <w:rPr>
      <w:sz w:val="22"/>
      <w:szCs w:val="22"/>
    </w:rPr>
  </w:style>
  <w:style w:type="character" w:customStyle="1" w:styleId="FuzeileZchn">
    <w:name w:val="Fußz eile Zchn"/>
    <w:basedOn w:val="Policepardfaut"/>
    <w:link w:val="Fuzeile"/>
    <w:rsid w:val="004F733C"/>
    <w:rPr>
      <w:rFonts w:ascii="Arial" w:hAnsi="Arial" w:cs="Arial"/>
      <w:lang w:val="nl-NL"/>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Arial" w:hAnsi="Arial" w:cs="Arial"/>
      <w:sz w:val="20"/>
      <w:szCs w:val="20"/>
      <w:lang w:val="nl-NL"/>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B50870"/>
    <w:rPr>
      <w:b/>
      <w:bCs/>
    </w:rPr>
  </w:style>
  <w:style w:type="character" w:customStyle="1" w:styleId="ObjetducommentaireCar">
    <w:name w:val="Objet du commentaire Car"/>
    <w:basedOn w:val="CommentaireCar"/>
    <w:link w:val="Objetducommentaire"/>
    <w:uiPriority w:val="99"/>
    <w:semiHidden/>
    <w:rsid w:val="00B50870"/>
    <w:rPr>
      <w:rFonts w:ascii="Arial" w:hAnsi="Arial" w:cs="Arial"/>
      <w:b/>
      <w:bCs/>
      <w:sz w:val="20"/>
      <w:szCs w:val="20"/>
      <w:lang w:val="nl-NL"/>
    </w:rPr>
  </w:style>
  <w:style w:type="character" w:styleId="Mention">
    <w:name w:val="Mention"/>
    <w:basedOn w:val="Policepardfaut"/>
    <w:uiPriority w:val="99"/>
    <w:unhideWhenUsed/>
    <w:rsid w:val="000A398B"/>
    <w:rPr>
      <w:color w:val="2B579A"/>
      <w:shd w:val="clear" w:color="auto" w:fill="E1DFDD"/>
    </w:rPr>
  </w:style>
  <w:style w:type="character" w:styleId="Mentionnonrsolue">
    <w:name w:val="Unresolved Mention"/>
    <w:basedOn w:val="Policepardfaut"/>
    <w:uiPriority w:val="99"/>
    <w:semiHidden/>
    <w:unhideWhenUsed/>
    <w:rsid w:val="00DA6B39"/>
    <w:rPr>
      <w:color w:val="605E5C"/>
      <w:shd w:val="clear" w:color="auto" w:fill="E1DFDD"/>
    </w:rPr>
  </w:style>
  <w:style w:type="character" w:styleId="Lienhypertextesuivivisit">
    <w:name w:val="FollowedHyperlink"/>
    <w:basedOn w:val="Policepardfaut"/>
    <w:uiPriority w:val="99"/>
    <w:semiHidden/>
    <w:unhideWhenUsed/>
    <w:rsid w:val="00DA6B39"/>
    <w:rPr>
      <w:color w:val="954F72" w:themeColor="followedHyperlink"/>
      <w:u w:val="single"/>
    </w:rPr>
  </w:style>
  <w:style w:type="character" w:customStyle="1" w:styleId="Titre3Car">
    <w:name w:val="Titre 3 Car"/>
    <w:basedOn w:val="Policepardfaut"/>
    <w:link w:val="Titre3"/>
    <w:uiPriority w:val="9"/>
    <w:rsid w:val="00D63A1A"/>
    <w:rPr>
      <w:rFonts w:ascii="Arial" w:eastAsiaTheme="majorEastAsia" w:hAnsi="Arial" w:cstheme="majorBidi"/>
      <w:b/>
      <w:color w:val="000000" w:themeColor="text1"/>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27CFFD6309A041AE0351BA0F5D12D5" ma:contentTypeVersion="16" ma:contentTypeDescription="Ein neues Dokument erstellen." ma:contentTypeScope="" ma:versionID="c1ed372503ed6c61d720922f91048377">
  <xsd:schema xmlns:xsd="http://www.w3.org/2001/XMLSchema" xmlns:xs="http://www.w3.org/2001/XMLSchema" xmlns:p="http://schemas.microsoft.com/office/2006/metadata/properties" xmlns:ns2="720689fe-bd32-45ca-97db-fdd223f1f994" xmlns:ns3="f10cf52f-88ea-42e9-b802-dd58d72c13da" targetNamespace="http://schemas.microsoft.com/office/2006/metadata/properties" ma:root="true" ma:fieldsID="4e52aaa5f5b4023ecc9a7d7557a5abc0" ns2:_="" ns3:_="">
    <xsd:import namespace="720689fe-bd32-45ca-97db-fdd223f1f994"/>
    <xsd:import namespace="f10cf52f-88ea-42e9-b802-dd58d72c13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689fe-bd32-45ca-97db-fdd223f1f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cf52f-88ea-42e9-b802-dd58d72c13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d79953-9f4c-48e2-8cb5-e1d0409fd4fd}" ma:internalName="TaxCatchAll" ma:showField="CatchAllData" ma:web="f10cf52f-88ea-42e9-b802-dd58d72c13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0cf52f-88ea-42e9-b802-dd58d72c13da" xsi:nil="true"/>
    <lcf76f155ced4ddcb4097134ff3c332f xmlns="720689fe-bd32-45ca-97db-fdd223f1f9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D8E1A1-4233-4990-8304-B6094B9D9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689fe-bd32-45ca-97db-fdd223f1f994"/>
    <ds:schemaRef ds:uri="f10cf52f-88ea-42e9-b802-dd58d72c1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f10cf52f-88ea-42e9-b802-dd58d72c13da"/>
    <ds:schemaRef ds:uri="720689fe-bd32-45ca-97db-fdd223f1f994"/>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2640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3052</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Charlier Pierre-Edouard</cp:lastModifiedBy>
  <cp:revision>10</cp:revision>
  <dcterms:created xsi:type="dcterms:W3CDTF">2026-06-01T13:44:00Z</dcterms:created>
  <dcterms:modified xsi:type="dcterms:W3CDTF">2026-08-27T06:48:00Z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0x0101005127CFFD6309A041AE0351BA0F5D12D5</vt:lpwstr>
  </property>
  <property fmtid="{D5CDD505-2E9C-101B-9397-08002B2CF9AE}" pid="3" name="MediaServiceImageTags">
    <vt:lpwstr/>
  </property>
</Properties>
</file>